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B7" w:rsidRPr="005D4876" w:rsidRDefault="008105B7" w:rsidP="008105B7">
      <w:pPr>
        <w:spacing w:after="0"/>
        <w:rPr>
          <w:rFonts w:asciiTheme="minorHAnsi" w:hAnsiTheme="minorHAnsi"/>
          <w:b/>
          <w:sz w:val="28"/>
          <w:szCs w:val="28"/>
        </w:rPr>
      </w:pPr>
      <w:r w:rsidRPr="005D4876">
        <w:rPr>
          <w:rFonts w:asciiTheme="minorHAnsi" w:hAnsiTheme="minorHAnsi"/>
          <w:b/>
          <w:sz w:val="28"/>
          <w:szCs w:val="28"/>
        </w:rPr>
        <w:t>Required Indicators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933"/>
      </w:tblGrid>
      <w:tr w:rsidR="008105B7" w:rsidRPr="005D4876" w:rsidTr="00C13776">
        <w:trPr>
          <w:trHeight w:val="20"/>
        </w:trPr>
        <w:tc>
          <w:tcPr>
            <w:tcW w:w="858" w:type="pct"/>
            <w:shd w:val="clear" w:color="auto" w:fill="D9D9D9" w:themeFill="background1" w:themeFillShade="D9"/>
          </w:tcPr>
          <w:p w:rsidR="008105B7" w:rsidRPr="005D4876" w:rsidRDefault="008105B7" w:rsidP="00C13776">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8105B7" w:rsidRPr="005D4876" w:rsidRDefault="008105B7" w:rsidP="00C13776">
            <w:pPr>
              <w:spacing w:after="0"/>
              <w:rPr>
                <w:rFonts w:asciiTheme="minorHAnsi" w:hAnsiTheme="minorHAnsi"/>
                <w:b/>
              </w:rPr>
            </w:pPr>
            <w:r w:rsidRPr="005D4876">
              <w:rPr>
                <w:rFonts w:asciiTheme="minorHAnsi" w:hAnsiTheme="minorHAnsi"/>
                <w:b/>
              </w:rPr>
              <w:t>Required Indicators of Success</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1:01</w:t>
            </w:r>
          </w:p>
        </w:tc>
        <w:tc>
          <w:tcPr>
            <w:tcW w:w="4142" w:type="pct"/>
          </w:tcPr>
          <w:p w:rsidR="008105B7" w:rsidRPr="005D4876" w:rsidRDefault="008105B7" w:rsidP="00C13776">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1:02</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2A:01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2B:01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2C:01</w:t>
            </w:r>
          </w:p>
        </w:tc>
        <w:tc>
          <w:tcPr>
            <w:tcW w:w="4142" w:type="pct"/>
          </w:tcPr>
          <w:p w:rsidR="008105B7" w:rsidRPr="005D4876" w:rsidRDefault="008105B7" w:rsidP="00C13776">
            <w:pPr>
              <w:spacing w:after="0"/>
              <w:rPr>
                <w:rFonts w:asciiTheme="minorHAnsi" w:hAnsiTheme="minorHAnsi"/>
              </w:rPr>
            </w:pPr>
            <w:r w:rsidRPr="005D4876">
              <w:rPr>
                <w:rFonts w:asciiTheme="minorHAnsi" w:hAnsiTheme="minorHAnsi"/>
              </w:rPr>
              <w:t>The climate of the school flows from and supports the school’s purpose.</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3A:01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3A:02</w:t>
            </w:r>
          </w:p>
        </w:tc>
        <w:tc>
          <w:tcPr>
            <w:tcW w:w="4142" w:type="pct"/>
          </w:tcPr>
          <w:p w:rsidR="008105B7" w:rsidRPr="005D4876" w:rsidRDefault="008105B7" w:rsidP="00C13776">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3A:03</w:t>
            </w:r>
          </w:p>
        </w:tc>
        <w:tc>
          <w:tcPr>
            <w:tcW w:w="4142" w:type="pct"/>
          </w:tcPr>
          <w:p w:rsidR="008105B7" w:rsidRPr="005D4876" w:rsidRDefault="008105B7" w:rsidP="00C13776">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3B:01</w:t>
            </w:r>
          </w:p>
        </w:tc>
        <w:tc>
          <w:tcPr>
            <w:tcW w:w="4142" w:type="pct"/>
          </w:tcPr>
          <w:p w:rsidR="008105B7" w:rsidRPr="005D4876" w:rsidRDefault="008105B7" w:rsidP="00C13776">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4:01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5:01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5:02</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6:01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7:01</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8105B7" w:rsidRPr="005D4876" w:rsidTr="00C13776">
        <w:trPr>
          <w:trHeight w:val="20"/>
        </w:trPr>
        <w:tc>
          <w:tcPr>
            <w:tcW w:w="858" w:type="pct"/>
          </w:tcPr>
          <w:p w:rsidR="008105B7" w:rsidRPr="005D4876" w:rsidRDefault="008105B7" w:rsidP="00C13776">
            <w:pPr>
              <w:spacing w:after="0"/>
              <w:jc w:val="center"/>
              <w:rPr>
                <w:rFonts w:asciiTheme="minorHAnsi" w:hAnsiTheme="minorHAnsi"/>
                <w:b/>
              </w:rPr>
            </w:pPr>
            <w:r w:rsidRPr="005D4876">
              <w:rPr>
                <w:rFonts w:asciiTheme="minorHAnsi" w:hAnsiTheme="minorHAnsi"/>
                <w:b/>
              </w:rPr>
              <w:t>7:02</w:t>
            </w:r>
          </w:p>
        </w:tc>
        <w:tc>
          <w:tcPr>
            <w:tcW w:w="4142" w:type="pct"/>
          </w:tcPr>
          <w:p w:rsidR="008105B7" w:rsidRPr="005D4876" w:rsidRDefault="008105B7" w:rsidP="00C13776">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FA78BC" w:rsidRDefault="00FA78BC" w:rsidP="008105B7">
      <w:bookmarkStart w:id="0" w:name="_GoBack"/>
      <w:bookmarkEnd w:id="0"/>
    </w:p>
    <w:sectPr w:rsidR="00FA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0B"/>
    <w:rsid w:val="008105B7"/>
    <w:rsid w:val="009F690B"/>
    <w:rsid w:val="00A973C0"/>
    <w:rsid w:val="00FA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90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90B"/>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Cletus</dc:creator>
  <cp:lastModifiedBy>Cletus</cp:lastModifiedBy>
  <cp:revision>2</cp:revision>
  <dcterms:created xsi:type="dcterms:W3CDTF">2017-09-12T18:40:00Z</dcterms:created>
  <dcterms:modified xsi:type="dcterms:W3CDTF">2017-09-12T18:40:00Z</dcterms:modified>
</cp:coreProperties>
</file>